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077D3" w14:textId="4A8A4A57" w:rsidR="00B57ED0" w:rsidRDefault="004C04C0">
      <w:r>
        <w:rPr>
          <w:noProof/>
        </w:rPr>
        <w:drawing>
          <wp:anchor distT="0" distB="0" distL="114300" distR="114300" simplePos="0" relativeHeight="251658240" behindDoc="0" locked="0" layoutInCell="1" allowOverlap="1" wp14:anchorId="0F89371A" wp14:editId="51CBD905">
            <wp:simplePos x="0" y="0"/>
            <wp:positionH relativeFrom="column">
              <wp:posOffset>-481330</wp:posOffset>
            </wp:positionH>
            <wp:positionV relativeFrom="page">
              <wp:posOffset>298450</wp:posOffset>
            </wp:positionV>
            <wp:extent cx="6741795" cy="9442450"/>
            <wp:effectExtent l="0" t="0" r="1905" b="6350"/>
            <wp:wrapThrough wrapText="bothSides">
              <wp:wrapPolygon edited="0">
                <wp:start x="0" y="0"/>
                <wp:lineTo x="0" y="21571"/>
                <wp:lineTo x="21545" y="21571"/>
                <wp:lineTo x="21545" y="0"/>
                <wp:lineTo x="0" y="0"/>
              </wp:wrapPolygon>
            </wp:wrapThrough>
            <wp:docPr id="1172217659" name="Afbeelding 1" descr="Afbeelding met tekst, schoeisel,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17659" name="Afbeelding 1" descr="Afbeelding met tekst, schoeisel, kleding, persoon&#10;&#10;Door AI gegenereerde inhoud is mogelijk onjuist."/>
                    <pic:cNvPicPr/>
                  </pic:nvPicPr>
                  <pic:blipFill>
                    <a:blip r:embed="rId7">
                      <a:extLst>
                        <a:ext uri="{28A0092B-C50C-407E-A947-70E740481C1C}">
                          <a14:useLocalDpi xmlns:a14="http://schemas.microsoft.com/office/drawing/2010/main" val="0"/>
                        </a:ext>
                      </a:extLst>
                    </a:blip>
                    <a:stretch>
                      <a:fillRect/>
                    </a:stretch>
                  </pic:blipFill>
                  <pic:spPr>
                    <a:xfrm>
                      <a:off x="0" y="0"/>
                      <a:ext cx="6741795" cy="9442450"/>
                    </a:xfrm>
                    <a:prstGeom prst="rect">
                      <a:avLst/>
                    </a:prstGeom>
                  </pic:spPr>
                </pic:pic>
              </a:graphicData>
            </a:graphic>
            <wp14:sizeRelH relativeFrom="margin">
              <wp14:pctWidth>0</wp14:pctWidth>
            </wp14:sizeRelH>
            <wp14:sizeRelV relativeFrom="margin">
              <wp14:pctHeight>0</wp14:pctHeight>
            </wp14:sizeRelV>
          </wp:anchor>
        </w:drawing>
      </w:r>
    </w:p>
    <w:p w14:paraId="289CA740" w14:textId="77777777" w:rsidR="00B57ED0" w:rsidRDefault="00000000">
      <w:pPr>
        <w:pStyle w:val="Kop2"/>
        <w:keepNext w:val="0"/>
        <w:keepLines w:val="0"/>
        <w:spacing w:before="360"/>
        <w:rPr>
          <w:rFonts w:ascii="Nunito" w:eastAsia="Nunito" w:hAnsi="Nunito" w:cs="Nunito"/>
          <w:b/>
          <w:bCs/>
          <w:color w:val="000000"/>
          <w:sz w:val="26"/>
          <w:szCs w:val="26"/>
        </w:rPr>
      </w:pPr>
      <w:bookmarkStart w:id="0" w:name="_heading=h.p7pgsmsiz143" w:colFirst="0" w:colLast="0"/>
      <w:bookmarkEnd w:id="0"/>
      <w:r>
        <w:rPr>
          <w:rFonts w:ascii="Nunito" w:eastAsia="Nunito" w:hAnsi="Nunito" w:cs="Nunito"/>
          <w:b/>
          <w:bCs/>
          <w:color w:val="000000"/>
          <w:sz w:val="26"/>
          <w:szCs w:val="26"/>
        </w:rPr>
        <w:lastRenderedPageBreak/>
        <w:t>Teacher's guide - Concept cartoon: What does a chromosome look like?</w:t>
      </w:r>
    </w:p>
    <w:p w14:paraId="1CC900E4" w14:textId="77777777" w:rsidR="00B57ED0" w:rsidRDefault="00000000">
      <w:pPr>
        <w:pStyle w:val="Kop2"/>
        <w:keepNext w:val="0"/>
        <w:keepLines w:val="0"/>
        <w:spacing w:before="360"/>
        <w:rPr>
          <w:rFonts w:ascii="Nunito" w:eastAsia="Nunito" w:hAnsi="Nunito" w:cs="Nunito"/>
          <w:b/>
          <w:bCs/>
          <w:color w:val="000000"/>
          <w:sz w:val="22"/>
          <w:szCs w:val="22"/>
        </w:rPr>
      </w:pPr>
      <w:bookmarkStart w:id="1" w:name="_heading=h.js7n2danu191" w:colFirst="0" w:colLast="0"/>
      <w:bookmarkEnd w:id="1"/>
      <w:r>
        <w:rPr>
          <w:rFonts w:ascii="Nunito" w:eastAsia="Nunito" w:hAnsi="Nunito" w:cs="Nunito"/>
          <w:b/>
          <w:bCs/>
          <w:color w:val="000000"/>
          <w:sz w:val="22"/>
          <w:szCs w:val="22"/>
        </w:rPr>
        <w:t>Suggested teaching approach</w:t>
      </w:r>
    </w:p>
    <w:p w14:paraId="6633FEF8" w14:textId="77777777" w:rsidR="00B57ED0" w:rsidRDefault="00000000">
      <w:pPr>
        <w:spacing w:before="240" w:after="240"/>
        <w:rPr>
          <w:rFonts w:ascii="Nunito" w:eastAsia="Nunito" w:hAnsi="Nunito" w:cs="Nunito"/>
          <w:sz w:val="22"/>
          <w:szCs w:val="22"/>
        </w:rPr>
      </w:pPr>
      <w:r>
        <w:rPr>
          <w:rFonts w:ascii="Nunito" w:eastAsia="Nunito" w:hAnsi="Nunito" w:cs="Nunito"/>
          <w:sz w:val="22"/>
          <w:szCs w:val="22"/>
        </w:rPr>
        <w:t>Have students look at the cartoon and silently write down who they agree with and why. This ensures that everyone thinks for themselves and activates relevant prior knowledge. It prevents stronger students from immediately dominating the discussion.</w:t>
      </w:r>
    </w:p>
    <w:p w14:paraId="73C96F9E" w14:textId="77777777" w:rsidR="00B57ED0" w:rsidRDefault="00000000">
      <w:pPr>
        <w:spacing w:before="240" w:after="240"/>
        <w:rPr>
          <w:rFonts w:ascii="Nunito" w:eastAsia="Nunito" w:hAnsi="Nunito" w:cs="Nunito"/>
          <w:sz w:val="22"/>
          <w:szCs w:val="22"/>
        </w:rPr>
      </w:pPr>
      <w:r>
        <w:rPr>
          <w:rFonts w:ascii="Nunito" w:eastAsia="Nunito" w:hAnsi="Nunito" w:cs="Nunito"/>
          <w:sz w:val="22"/>
          <w:szCs w:val="22"/>
        </w:rPr>
        <w:t>Have students discuss and exchange ideas in small groups. Encourage them to question each other's reasoning. Avoid a judgmental attitude when students share their ideas. The uncertainty that Concept Cartoons evoke is precisely what makes them valuable for the learning process. Walk around so you can hear what conceptions students have.</w:t>
      </w:r>
    </w:p>
    <w:p w14:paraId="11CC0673" w14:textId="77777777" w:rsidR="00B57ED0" w:rsidRDefault="00000000">
      <w:pPr>
        <w:spacing w:before="240" w:after="240"/>
        <w:rPr>
          <w:rFonts w:ascii="Nunito" w:eastAsia="Nunito" w:hAnsi="Nunito" w:cs="Nunito"/>
          <w:sz w:val="22"/>
          <w:szCs w:val="22"/>
        </w:rPr>
      </w:pPr>
      <w:r>
        <w:rPr>
          <w:rFonts w:ascii="Nunito" w:eastAsia="Nunito" w:hAnsi="Nunito" w:cs="Nunito"/>
          <w:sz w:val="22"/>
          <w:szCs w:val="22"/>
        </w:rPr>
        <w:t>If time permits: exchange different lines of reasoning as a whole class. Ask probing questions: Why do you think that...? What would happen if...?</w:t>
      </w:r>
    </w:p>
    <w:p w14:paraId="5B201B9A" w14:textId="77777777" w:rsidR="00B57ED0" w:rsidRDefault="00000000">
      <w:pPr>
        <w:spacing w:before="240" w:after="240"/>
        <w:rPr>
          <w:rFonts w:ascii="Nunito" w:eastAsia="Nunito" w:hAnsi="Nunito" w:cs="Nunito"/>
          <w:b/>
          <w:bCs/>
          <w:color w:val="000000"/>
          <w:sz w:val="22"/>
          <w:szCs w:val="22"/>
        </w:rPr>
      </w:pPr>
      <w:r>
        <w:rPr>
          <w:rFonts w:ascii="Nunito" w:eastAsia="Nunito" w:hAnsi="Nunito" w:cs="Nunito"/>
          <w:sz w:val="22"/>
          <w:szCs w:val="22"/>
        </w:rPr>
        <w:t>Provide the correct answer and make explicit why only this is the correct answer, and why the others are incorrect. Ensure that students articulate, write down, or apply the correct reasoning so that no one accidentally leaves the lesson with a misconception.</w:t>
      </w:r>
    </w:p>
    <w:p w14:paraId="79CFDB21" w14:textId="77777777" w:rsidR="00B57ED0" w:rsidRDefault="00000000">
      <w:pPr>
        <w:pStyle w:val="Kop2"/>
        <w:keepNext w:val="0"/>
        <w:keepLines w:val="0"/>
        <w:spacing w:before="360"/>
        <w:rPr>
          <w:rFonts w:ascii="Nunito" w:eastAsia="Nunito" w:hAnsi="Nunito" w:cs="Nunito"/>
          <w:b/>
          <w:bCs/>
          <w:color w:val="000000"/>
          <w:sz w:val="22"/>
          <w:szCs w:val="22"/>
        </w:rPr>
      </w:pPr>
      <w:bookmarkStart w:id="2" w:name="_heading=h.rc0pqd6i9im2" w:colFirst="0" w:colLast="0"/>
      <w:bookmarkEnd w:id="2"/>
      <w:r>
        <w:rPr>
          <w:rFonts w:ascii="Nunito" w:eastAsia="Nunito" w:hAnsi="Nunito" w:cs="Nunito"/>
          <w:b/>
          <w:bCs/>
          <w:color w:val="000000"/>
          <w:sz w:val="22"/>
          <w:szCs w:val="22"/>
        </w:rPr>
        <w:t>Answer key for teacher</w:t>
      </w:r>
    </w:p>
    <w:p w14:paraId="36166851" w14:textId="77777777" w:rsidR="00B57ED0" w:rsidRDefault="00000000">
      <w:pPr>
        <w:spacing w:before="240" w:after="240"/>
        <w:rPr>
          <w:rFonts w:ascii="Nunito" w:eastAsia="Nunito" w:hAnsi="Nunito" w:cs="Nunito"/>
          <w:sz w:val="22"/>
          <w:szCs w:val="22"/>
        </w:rPr>
      </w:pPr>
      <w:r>
        <w:rPr>
          <w:rFonts w:ascii="Nunito" w:eastAsia="Nunito" w:hAnsi="Nunito" w:cs="Nunito"/>
          <w:b/>
          <w:bCs/>
          <w:sz w:val="22"/>
          <w:szCs w:val="22"/>
        </w:rPr>
        <w:t>A:</w:t>
      </w:r>
      <w:r>
        <w:rPr>
          <w:rFonts w:ascii="Nunito" w:eastAsia="Nunito" w:hAnsi="Nunito" w:cs="Nunito"/>
          <w:sz w:val="22"/>
          <w:szCs w:val="22"/>
        </w:rPr>
        <w:t xml:space="preserve"> Correct, this is a schematic representation of a chromosome. The arrow indicates the location of a gene. In reality, each visible band contains tens to hundreds of genes.</w:t>
      </w:r>
    </w:p>
    <w:p w14:paraId="14ACB17D" w14:textId="77777777" w:rsidR="00B57ED0" w:rsidRDefault="00000000">
      <w:pPr>
        <w:spacing w:before="240" w:after="240"/>
        <w:rPr>
          <w:rFonts w:ascii="Nunito" w:eastAsia="Nunito" w:hAnsi="Nunito" w:cs="Nunito"/>
          <w:sz w:val="22"/>
          <w:szCs w:val="22"/>
        </w:rPr>
      </w:pPr>
      <w:r>
        <w:rPr>
          <w:rFonts w:ascii="Nunito" w:eastAsia="Nunito" w:hAnsi="Nunito" w:cs="Nunito"/>
          <w:b/>
          <w:bCs/>
          <w:sz w:val="22"/>
          <w:szCs w:val="22"/>
        </w:rPr>
        <w:t>B:</w:t>
      </w:r>
      <w:r>
        <w:rPr>
          <w:rFonts w:ascii="Nunito" w:eastAsia="Nunito" w:hAnsi="Nunito" w:cs="Nunito"/>
          <w:sz w:val="22"/>
          <w:szCs w:val="22"/>
        </w:rPr>
        <w:t xml:space="preserve"> Incorrect, it is one chromosome after replication (just before the start of mitosis) and contains two identical sister chromatids.</w:t>
      </w:r>
    </w:p>
    <w:p w14:paraId="4021B584" w14:textId="77777777" w:rsidR="00B57ED0" w:rsidRDefault="00000000">
      <w:pPr>
        <w:spacing w:before="240" w:after="240"/>
        <w:rPr>
          <w:rFonts w:ascii="Nunito" w:eastAsia="Nunito" w:hAnsi="Nunito" w:cs="Nunito"/>
          <w:sz w:val="22"/>
          <w:szCs w:val="22"/>
        </w:rPr>
      </w:pPr>
      <w:r>
        <w:rPr>
          <w:rFonts w:ascii="Nunito" w:eastAsia="Nunito" w:hAnsi="Nunito" w:cs="Nunito"/>
          <w:b/>
          <w:bCs/>
          <w:sz w:val="22"/>
          <w:szCs w:val="22"/>
        </w:rPr>
        <w:t>C:</w:t>
      </w:r>
      <w:r>
        <w:rPr>
          <w:rFonts w:ascii="Nunito" w:eastAsia="Nunito" w:hAnsi="Nunito" w:cs="Nunito"/>
          <w:sz w:val="22"/>
          <w:szCs w:val="22"/>
        </w:rPr>
        <w:t xml:space="preserve"> Incorrect, it is one chromosome after replication and contains two identical sister chromatids. It is therefore half of a homologous chromosome pair.</w:t>
      </w:r>
    </w:p>
    <w:p w14:paraId="683D7021" w14:textId="77777777" w:rsidR="00B57ED0" w:rsidRDefault="00000000">
      <w:pPr>
        <w:spacing w:before="240" w:after="240"/>
        <w:rPr>
          <w:rFonts w:ascii="Nunito" w:eastAsia="Nunito" w:hAnsi="Nunito" w:cs="Nunito"/>
          <w:b/>
          <w:bCs/>
          <w:sz w:val="22"/>
          <w:szCs w:val="22"/>
        </w:rPr>
      </w:pPr>
      <w:r>
        <w:rPr>
          <w:rFonts w:ascii="Nunito" w:eastAsia="Nunito" w:hAnsi="Nunito" w:cs="Nunito"/>
          <w:b/>
          <w:bCs/>
          <w:sz w:val="22"/>
          <w:szCs w:val="22"/>
        </w:rPr>
        <w:t>D:</w:t>
      </w:r>
      <w:r>
        <w:rPr>
          <w:rFonts w:ascii="Nunito" w:eastAsia="Nunito" w:hAnsi="Nunito" w:cs="Nunito"/>
          <w:sz w:val="22"/>
          <w:szCs w:val="22"/>
        </w:rPr>
        <w:t xml:space="preserve"> Correct, this is an edited microscopic photo of a homologous chromosome pair. The chromosomes are only visible under a light microscope when they are condensed (coiled up) and the preparation has been stained to make the bands visible. The chromosomes do not normally lie next to each other like this in the cell, but have been placed side by side using image editing software so you can see that it is a homologous pair (same banding pattern and size).</w:t>
      </w:r>
    </w:p>
    <w:p w14:paraId="18038067" w14:textId="77777777" w:rsidR="00B57ED0" w:rsidRDefault="00B57ED0">
      <w:pPr>
        <w:rPr>
          <w:rFonts w:ascii="Nunito" w:eastAsia="Nunito" w:hAnsi="Nunito" w:cs="Nunito"/>
          <w:b/>
          <w:bCs/>
          <w:sz w:val="22"/>
          <w:szCs w:val="22"/>
        </w:rPr>
      </w:pPr>
    </w:p>
    <w:p w14:paraId="59619DCC" w14:textId="77777777" w:rsidR="00B57ED0" w:rsidRPr="004C04C0" w:rsidRDefault="00000000">
      <w:pPr>
        <w:rPr>
          <w:rFonts w:ascii="Nunito" w:eastAsia="Nunito" w:hAnsi="Nunito" w:cs="Nunito"/>
          <w:sz w:val="22"/>
          <w:szCs w:val="22"/>
          <w:lang w:val="nl-NL"/>
        </w:rPr>
      </w:pPr>
      <w:r w:rsidRPr="004C04C0">
        <w:rPr>
          <w:rFonts w:ascii="Nunito" w:eastAsia="Nunito" w:hAnsi="Nunito" w:cs="Nunito"/>
          <w:b/>
          <w:bCs/>
          <w:sz w:val="22"/>
          <w:szCs w:val="22"/>
          <w:lang w:val="nl-NL"/>
        </w:rPr>
        <w:t>Source</w:t>
      </w:r>
      <w:r w:rsidRPr="004C04C0">
        <w:rPr>
          <w:rFonts w:ascii="Nunito" w:eastAsia="Nunito" w:hAnsi="Nunito" w:cs="Nunito"/>
          <w:sz w:val="22"/>
          <w:szCs w:val="22"/>
          <w:lang w:val="nl-NL"/>
        </w:rPr>
        <w:t xml:space="preserve">: Domis-Hoos, M., Kapteijn, M., &amp; Boerwinkel, D. J. (2012). </w:t>
      </w:r>
      <w:r w:rsidRPr="004C04C0">
        <w:rPr>
          <w:rFonts w:ascii="Nunito" w:eastAsia="Nunito" w:hAnsi="Nunito" w:cs="Nunito"/>
          <w:i/>
          <w:iCs/>
          <w:sz w:val="22"/>
          <w:szCs w:val="22"/>
          <w:lang w:val="nl-NL"/>
        </w:rPr>
        <w:t>Genetica in beweging – de moeite waard om te leren</w:t>
      </w:r>
      <w:r w:rsidRPr="004C04C0">
        <w:rPr>
          <w:rFonts w:ascii="Nunito" w:eastAsia="Nunito" w:hAnsi="Nunito" w:cs="Nunito"/>
          <w:sz w:val="22"/>
          <w:szCs w:val="22"/>
          <w:lang w:val="nl-NL"/>
        </w:rPr>
        <w:t xml:space="preserve">. Utrecht: NVON. </w:t>
      </w:r>
    </w:p>
    <w:sectPr w:rsidR="00B57ED0" w:rsidRPr="004C04C0">
      <w:footerReference w:type="default" r:id="rId8"/>
      <w:headerReference w:type="first" r:id="rId9"/>
      <w:footerReference w:type="first" r:id="rId1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960D9" w14:textId="77777777" w:rsidR="00EB69A2" w:rsidRDefault="00EB69A2">
      <w:pPr>
        <w:spacing w:after="0" w:line="240" w:lineRule="auto"/>
      </w:pPr>
      <w:r>
        <w:separator/>
      </w:r>
    </w:p>
  </w:endnote>
  <w:endnote w:type="continuationSeparator" w:id="0">
    <w:p w14:paraId="43F5808F" w14:textId="77777777" w:rsidR="00EB69A2" w:rsidRDefault="00EB6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D97A37D-31C2-40FE-9462-BEE4F236A06C}"/>
    <w:embedItalic r:id="rId2" w:fontKey="{25B071F5-6482-4EC9-907E-11FBB80532FB}"/>
  </w:font>
  <w:font w:name="Play">
    <w:charset w:val="00"/>
    <w:family w:val="auto"/>
    <w:pitch w:val="default"/>
    <w:embedRegular r:id="rId3" w:fontKey="{BA619FA6-0E90-48E4-8C05-428495E770FC}"/>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D3CDCF90-467A-4637-AEB0-D8574B5BA06F}"/>
  </w:font>
  <w:font w:name="Nunito">
    <w:charset w:val="00"/>
    <w:family w:val="auto"/>
    <w:pitch w:val="variable"/>
    <w:sig w:usb0="A00002FF" w:usb1="5000204B" w:usb2="00000000" w:usb3="00000000" w:csb0="00000197" w:csb1="00000000"/>
    <w:embedRegular r:id="rId5" w:fontKey="{38CF380D-0B63-4E60-AE47-BE64A148750A}"/>
    <w:embedBold r:id="rId6" w:fontKey="{8DCFA319-EAF8-408A-A956-722C5A6A2ABF}"/>
    <w:embedItalic r:id="rId7" w:fontKey="{0579FDE8-D7A0-4936-8525-EEFDD580E5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86642" w14:textId="77777777" w:rsidR="00B57ED0" w:rsidRPr="004C04C0" w:rsidRDefault="00000000">
    <w:pPr>
      <w:pBdr>
        <w:top w:val="nil"/>
        <w:left w:val="nil"/>
        <w:bottom w:val="nil"/>
        <w:right w:val="nil"/>
        <w:between w:val="nil"/>
      </w:pBdr>
      <w:tabs>
        <w:tab w:val="center" w:pos="4536"/>
        <w:tab w:val="right" w:pos="9072"/>
      </w:tabs>
      <w:spacing w:after="0" w:line="240" w:lineRule="auto"/>
      <w:rPr>
        <w:color w:val="666666"/>
        <w:sz w:val="20"/>
        <w:szCs w:val="20"/>
        <w:lang w:val="nl-NL"/>
      </w:rPr>
    </w:pPr>
    <w:r w:rsidRPr="004C04C0">
      <w:rPr>
        <w:color w:val="666666"/>
        <w:sz w:val="20"/>
        <w:szCs w:val="20"/>
        <w:lang w:val="nl-NL"/>
      </w:rPr>
      <w:t>© 2025 Sofie Faes en Joska de Kroon voor Kennisbank Misconcepten in de Biologie |</w:t>
    </w:r>
    <w:hyperlink r:id="rId1">
      <w:r w:rsidRPr="004C04C0">
        <w:rPr>
          <w:color w:val="666666"/>
          <w:sz w:val="20"/>
          <w:szCs w:val="20"/>
          <w:u w:val="single"/>
          <w:lang w:val="nl-NL"/>
        </w:rPr>
        <w:t xml:space="preserve"> CC BY-SA 4.0</w:t>
      </w:r>
    </w:hyperlink>
  </w:p>
  <w:p w14:paraId="3DE7AE38" w14:textId="77777777" w:rsidR="00B57ED0" w:rsidRPr="004C04C0" w:rsidRDefault="00B57ED0">
    <w:pPr>
      <w:pBdr>
        <w:top w:val="nil"/>
        <w:left w:val="nil"/>
        <w:bottom w:val="nil"/>
        <w:right w:val="nil"/>
        <w:between w:val="nil"/>
      </w:pBdr>
      <w:tabs>
        <w:tab w:val="center" w:pos="4536"/>
        <w:tab w:val="right" w:pos="9072"/>
      </w:tabs>
      <w:spacing w:after="0" w:line="240" w:lineRule="auto"/>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C3C51" w14:textId="77777777" w:rsidR="00B57ED0" w:rsidRDefault="00B57E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EF745" w14:textId="77777777" w:rsidR="00EB69A2" w:rsidRDefault="00EB69A2">
      <w:pPr>
        <w:spacing w:after="0" w:line="240" w:lineRule="auto"/>
      </w:pPr>
      <w:r>
        <w:separator/>
      </w:r>
    </w:p>
  </w:footnote>
  <w:footnote w:type="continuationSeparator" w:id="0">
    <w:p w14:paraId="243DD8F7" w14:textId="77777777" w:rsidR="00EB69A2" w:rsidRDefault="00EB6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7E2A" w14:textId="77777777" w:rsidR="00B57ED0" w:rsidRDefault="00B57ED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ED0"/>
    <w:rsid w:val="002E1765"/>
    <w:rsid w:val="004C04C0"/>
    <w:rsid w:val="00B57ED0"/>
    <w:rsid w:val="00EB69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93E8A"/>
  <w15:docId w15:val="{3ADE9AF2-2B37-437F-B9AB-906A807C6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nl-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360" w:after="80"/>
      <w:outlineLvl w:val="0"/>
    </w:pPr>
    <w:rPr>
      <w:rFonts w:ascii="Play" w:eastAsia="Play" w:hAnsi="Play" w:cs="Play"/>
      <w:color w:val="0F4761"/>
      <w:sz w:val="40"/>
      <w:szCs w:val="40"/>
    </w:rPr>
  </w:style>
  <w:style w:type="paragraph" w:styleId="Kop2">
    <w:name w:val="heading 2"/>
    <w:basedOn w:val="Standaard"/>
    <w:next w:val="Standaard"/>
    <w:uiPriority w:val="9"/>
    <w:unhideWhenUsed/>
    <w:qFormat/>
    <w:pPr>
      <w:keepNext/>
      <w:keepLines/>
      <w:spacing w:before="160" w:after="80"/>
      <w:outlineLvl w:val="1"/>
    </w:pPr>
    <w:rPr>
      <w:rFonts w:ascii="Play" w:eastAsia="Play" w:hAnsi="Play" w:cs="Play"/>
      <w:color w:val="0F4761"/>
      <w:sz w:val="32"/>
      <w:szCs w:val="32"/>
    </w:rPr>
  </w:style>
  <w:style w:type="paragraph" w:styleId="Kop3">
    <w:name w:val="heading 3"/>
    <w:basedOn w:val="Standaard"/>
    <w:next w:val="Standaard"/>
    <w:uiPriority w:val="9"/>
    <w:semiHidden/>
    <w:unhideWhenUsed/>
    <w:qFormat/>
    <w:pPr>
      <w:keepNext/>
      <w:keepLines/>
      <w:spacing w:before="160" w:after="80"/>
      <w:outlineLvl w:val="2"/>
    </w:pPr>
    <w:rPr>
      <w:color w:val="0F4761"/>
      <w:sz w:val="28"/>
      <w:szCs w:val="28"/>
    </w:rPr>
  </w:style>
  <w:style w:type="paragraph" w:styleId="Kop4">
    <w:name w:val="heading 4"/>
    <w:basedOn w:val="Standaard"/>
    <w:next w:val="Standaard"/>
    <w:uiPriority w:val="9"/>
    <w:semiHidden/>
    <w:unhideWhenUsed/>
    <w:qFormat/>
    <w:pPr>
      <w:keepNext/>
      <w:keepLines/>
      <w:spacing w:before="80" w:after="40"/>
      <w:outlineLvl w:val="3"/>
    </w:pPr>
    <w:rPr>
      <w:i/>
      <w:iCs/>
      <w:color w:val="0F4761"/>
    </w:rPr>
  </w:style>
  <w:style w:type="paragraph" w:styleId="Kop5">
    <w:name w:val="heading 5"/>
    <w:basedOn w:val="Standaard"/>
    <w:next w:val="Standaard"/>
    <w:uiPriority w:val="9"/>
    <w:semiHidden/>
    <w:unhideWhenUsed/>
    <w:qFormat/>
    <w:pPr>
      <w:keepNext/>
      <w:keepLines/>
      <w:spacing w:before="80" w:after="40"/>
      <w:outlineLvl w:val="4"/>
    </w:pPr>
    <w:rPr>
      <w:color w:val="0F4761"/>
    </w:rPr>
  </w:style>
  <w:style w:type="paragraph" w:styleId="Kop6">
    <w:name w:val="heading 6"/>
    <w:basedOn w:val="Standaard"/>
    <w:next w:val="Standaard"/>
    <w:uiPriority w:val="9"/>
    <w:semiHidden/>
    <w:unhideWhenUsed/>
    <w:qFormat/>
    <w:pPr>
      <w:keepNext/>
      <w:keepLines/>
      <w:spacing w:before="40" w:after="0"/>
      <w:outlineLvl w:val="5"/>
    </w:pPr>
    <w:rPr>
      <w:i/>
      <w:iCs/>
      <w:color w:val="595959"/>
    </w:rPr>
  </w:style>
  <w:style w:type="paragraph" w:styleId="Kop7">
    <w:name w:val="heading 7"/>
    <w:link w:val="Kop7Char"/>
    <w:uiPriority w:val="9"/>
    <w:semiHidden/>
    <w:unhideWhenUsed/>
    <w:qFormat/>
    <w:rsid w:val="0070423D"/>
    <w:pPr>
      <w:keepNext/>
      <w:keepLines/>
      <w:spacing w:before="40" w:after="0"/>
      <w:outlineLvl w:val="6"/>
    </w:pPr>
    <w:rPr>
      <w:rFonts w:eastAsiaTheme="majorEastAsia" w:cstheme="majorBidi"/>
      <w:color w:val="595959" w:themeColor="text1" w:themeTint="A6"/>
    </w:rPr>
  </w:style>
  <w:style w:type="paragraph" w:styleId="Kop8">
    <w:name w:val="heading 8"/>
    <w:link w:val="Kop8Char"/>
    <w:uiPriority w:val="9"/>
    <w:semiHidden/>
    <w:unhideWhenUsed/>
    <w:qFormat/>
    <w:rsid w:val="0070423D"/>
    <w:pPr>
      <w:keepNext/>
      <w:keepLines/>
      <w:spacing w:after="0"/>
      <w:outlineLvl w:val="7"/>
    </w:pPr>
    <w:rPr>
      <w:rFonts w:eastAsiaTheme="majorEastAsia" w:cstheme="majorBidi"/>
      <w:i/>
      <w:iCs/>
      <w:color w:val="272727" w:themeColor="text1" w:themeTint="D8"/>
    </w:rPr>
  </w:style>
  <w:style w:type="paragraph" w:styleId="Kop9">
    <w:name w:val="heading 9"/>
    <w:link w:val="Kop9Char"/>
    <w:uiPriority w:val="9"/>
    <w:semiHidden/>
    <w:unhideWhenUsed/>
    <w:qFormat/>
    <w:rsid w:val="0070423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80" w:line="240" w:lineRule="auto"/>
    </w:pPr>
    <w:rPr>
      <w:rFonts w:ascii="Play" w:eastAsia="Play" w:hAnsi="Play" w:cs="Play"/>
      <w:sz w:val="56"/>
      <w:szCs w:val="56"/>
    </w:rPr>
  </w:style>
  <w:style w:type="character" w:customStyle="1" w:styleId="Kop1Char">
    <w:name w:val="Kop 1 Char"/>
    <w:basedOn w:val="Standaardalinea-lettertype"/>
    <w:uiPriority w:val="9"/>
    <w:rsid w:val="0070423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uiPriority w:val="9"/>
    <w:semiHidden/>
    <w:rsid w:val="0070423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uiPriority w:val="9"/>
    <w:semiHidden/>
    <w:rsid w:val="0070423D"/>
    <w:rPr>
      <w:rFonts w:eastAsiaTheme="majorEastAsia" w:cstheme="majorBidi"/>
      <w:color w:val="0F4761" w:themeColor="accent1" w:themeShade="BF"/>
      <w:sz w:val="28"/>
      <w:szCs w:val="28"/>
    </w:rPr>
  </w:style>
  <w:style w:type="character" w:customStyle="1" w:styleId="Kop4Char">
    <w:name w:val="Kop 4 Char"/>
    <w:basedOn w:val="Standaardalinea-lettertype"/>
    <w:uiPriority w:val="9"/>
    <w:semiHidden/>
    <w:rsid w:val="0070423D"/>
    <w:rPr>
      <w:rFonts w:eastAsiaTheme="majorEastAsia" w:cstheme="majorBidi"/>
      <w:i/>
      <w:iCs/>
      <w:color w:val="0F4761" w:themeColor="accent1" w:themeShade="BF"/>
    </w:rPr>
  </w:style>
  <w:style w:type="character" w:customStyle="1" w:styleId="Kop5Char">
    <w:name w:val="Kop 5 Char"/>
    <w:basedOn w:val="Standaardalinea-lettertype"/>
    <w:uiPriority w:val="9"/>
    <w:semiHidden/>
    <w:rsid w:val="0070423D"/>
    <w:rPr>
      <w:rFonts w:eastAsiaTheme="majorEastAsia" w:cstheme="majorBidi"/>
      <w:color w:val="0F4761" w:themeColor="accent1" w:themeShade="BF"/>
    </w:rPr>
  </w:style>
  <w:style w:type="character" w:customStyle="1" w:styleId="Kop6Char">
    <w:name w:val="Kop 6 Char"/>
    <w:basedOn w:val="Standaardalinea-lettertype"/>
    <w:uiPriority w:val="9"/>
    <w:semiHidden/>
    <w:rsid w:val="0070423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0423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0423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0423D"/>
    <w:rPr>
      <w:rFonts w:eastAsiaTheme="majorEastAsia" w:cstheme="majorBidi"/>
      <w:color w:val="272727" w:themeColor="text1" w:themeTint="D8"/>
    </w:rPr>
  </w:style>
  <w:style w:type="character" w:customStyle="1" w:styleId="TitelChar">
    <w:name w:val="Titel Char"/>
    <w:basedOn w:val="Standaardalinea-lettertype"/>
    <w:uiPriority w:val="10"/>
    <w:rsid w:val="0070423D"/>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uiPriority w:val="11"/>
    <w:rsid w:val="0070423D"/>
    <w:rPr>
      <w:rFonts w:eastAsiaTheme="majorEastAsia" w:cstheme="majorBidi"/>
      <w:color w:val="595959" w:themeColor="text1" w:themeTint="A6"/>
      <w:spacing w:val="15"/>
      <w:sz w:val="28"/>
      <w:szCs w:val="28"/>
    </w:rPr>
  </w:style>
  <w:style w:type="paragraph" w:styleId="Citaat">
    <w:name w:val="Quote"/>
    <w:link w:val="CitaatChar"/>
    <w:uiPriority w:val="29"/>
    <w:qFormat/>
    <w:rsid w:val="0070423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0423D"/>
    <w:rPr>
      <w:i/>
      <w:iCs/>
      <w:color w:val="404040" w:themeColor="text1" w:themeTint="BF"/>
    </w:rPr>
  </w:style>
  <w:style w:type="paragraph" w:styleId="Lijstalinea">
    <w:name w:val="List Paragraph"/>
    <w:uiPriority w:val="34"/>
    <w:qFormat/>
    <w:rsid w:val="0070423D"/>
    <w:pPr>
      <w:ind w:left="720"/>
      <w:contextualSpacing/>
    </w:pPr>
  </w:style>
  <w:style w:type="character" w:styleId="Intensievebenadrukking">
    <w:name w:val="Intense Emphasis"/>
    <w:basedOn w:val="Standaardalinea-lettertype"/>
    <w:uiPriority w:val="21"/>
    <w:qFormat/>
    <w:rsid w:val="0070423D"/>
    <w:rPr>
      <w:i/>
      <w:iCs/>
      <w:color w:val="0F4761" w:themeColor="accent1" w:themeShade="BF"/>
    </w:rPr>
  </w:style>
  <w:style w:type="paragraph" w:styleId="Duidelijkcitaat">
    <w:name w:val="Intense Quote"/>
    <w:link w:val="DuidelijkcitaatChar"/>
    <w:uiPriority w:val="30"/>
    <w:qFormat/>
    <w:rsid w:val="007042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0423D"/>
    <w:rPr>
      <w:i/>
      <w:iCs/>
      <w:color w:val="0F4761" w:themeColor="accent1" w:themeShade="BF"/>
    </w:rPr>
  </w:style>
  <w:style w:type="character" w:styleId="Intensieveverwijzing">
    <w:name w:val="Intense Reference"/>
    <w:basedOn w:val="Standaardalinea-lettertype"/>
    <w:uiPriority w:val="32"/>
    <w:qFormat/>
    <w:rsid w:val="0070423D"/>
    <w:rPr>
      <w:b/>
      <w:bCs/>
      <w:smallCaps/>
      <w:color w:val="0F4761" w:themeColor="accent1" w:themeShade="BF"/>
      <w:spacing w:val="5"/>
    </w:rPr>
  </w:style>
  <w:style w:type="table" w:styleId="Tabelraster">
    <w:name w:val="Table Grid"/>
    <w:basedOn w:val="Standaardtabel"/>
    <w:uiPriority w:val="39"/>
    <w:rsid w:val="00704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link w:val="KoptekstChar"/>
    <w:uiPriority w:val="99"/>
    <w:unhideWhenUsed/>
    <w:rsid w:val="007042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423D"/>
  </w:style>
  <w:style w:type="paragraph" w:styleId="Voettekst">
    <w:name w:val="footer"/>
    <w:link w:val="VoettekstChar"/>
    <w:uiPriority w:val="99"/>
    <w:unhideWhenUsed/>
    <w:rsid w:val="007042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423D"/>
  </w:style>
  <w:style w:type="character" w:styleId="Hyperlink">
    <w:name w:val="Hyperlink"/>
    <w:basedOn w:val="Standaardalinea-lettertype"/>
    <w:uiPriority w:val="99"/>
    <w:unhideWhenUsed/>
    <w:rsid w:val="0070423D"/>
    <w:rPr>
      <w:color w:val="467886" w:themeColor="hyperlink"/>
      <w:u w:val="single"/>
    </w:rPr>
  </w:style>
  <w:style w:type="character" w:styleId="Onopgelostemelding">
    <w:name w:val="Unresolved Mention"/>
    <w:basedOn w:val="Standaardalinea-lettertype"/>
    <w:uiPriority w:val="99"/>
    <w:semiHidden/>
    <w:unhideWhenUsed/>
    <w:rsid w:val="0070423D"/>
    <w:rPr>
      <w:color w:val="605E5C"/>
      <w:shd w:val="clear" w:color="auto" w:fill="E1DFDD"/>
    </w:rPr>
  </w:style>
  <w:style w:type="paragraph" w:styleId="Ondertitel">
    <w:name w:val="Subtitle"/>
    <w:basedOn w:val="Standaard"/>
    <w:next w:val="Standaard"/>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sa/4.0/deed.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t1t6XoWC0nulAzULti1B4+h82Q==">CgMxLjAyDmgucDdwZ3Ntc2l6MTQzMg5oLmpzN24yZGFudTE5MTIOaC5yYzBwcWQ2aTlpbTI4AHIhMWJfVjIxZGR0S0VZRGVBRkVFelRMMzlzMFZNbjdUTWdp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1837</Characters>
  <Application>Microsoft Office Word</Application>
  <DocSecurity>0</DocSecurity>
  <Lines>15</Lines>
  <Paragraphs>4</Paragraphs>
  <ScaleCrop>false</ScaleCrop>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Joska de Kroon</dc:creator>
  <cp:lastModifiedBy>Joska de Kroon</cp:lastModifiedBy>
  <cp:revision>2</cp:revision>
  <dcterms:created xsi:type="dcterms:W3CDTF">2025-10-26T16:01:00Z</dcterms:created>
  <dcterms:modified xsi:type="dcterms:W3CDTF">2025-12-22T10:00:00Z</dcterms:modified>
</cp:coreProperties>
</file>